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C" w:rsidRPr="00FD5D32" w:rsidRDefault="005C13DC">
      <w:pPr>
        <w:rPr>
          <w:b/>
          <w:i/>
          <w:sz w:val="28"/>
          <w:szCs w:val="28"/>
          <w:lang w:val="nb-NO"/>
        </w:rPr>
      </w:pPr>
      <w:r w:rsidRPr="00FD5D32">
        <w:rPr>
          <w:b/>
          <w:i/>
          <w:sz w:val="28"/>
          <w:szCs w:val="28"/>
          <w:lang w:val="nb-NO"/>
        </w:rPr>
        <w:t>Fra</w:t>
      </w:r>
    </w:p>
    <w:p w:rsidR="005C13DC" w:rsidRPr="00FD5D32" w:rsidRDefault="005C13DC">
      <w:pPr>
        <w:rPr>
          <w:sz w:val="28"/>
          <w:szCs w:val="28"/>
          <w:lang w:val="nb-NO"/>
        </w:rPr>
      </w:pPr>
      <w:r w:rsidRPr="00FD5D32">
        <w:rPr>
          <w:sz w:val="28"/>
          <w:szCs w:val="28"/>
          <w:lang w:val="nb-NO"/>
        </w:rPr>
        <w:t>Styret i Pilestredet Park 11-13 BRL</w:t>
      </w:r>
    </w:p>
    <w:p w:rsidR="005C13DC" w:rsidRPr="00FD5D32" w:rsidRDefault="005C13DC">
      <w:pPr>
        <w:rPr>
          <w:b/>
          <w:i/>
          <w:sz w:val="28"/>
          <w:szCs w:val="28"/>
          <w:lang w:val="nb-NO"/>
        </w:rPr>
      </w:pPr>
      <w:r w:rsidRPr="00FD5D32">
        <w:rPr>
          <w:b/>
          <w:i/>
          <w:sz w:val="28"/>
          <w:szCs w:val="28"/>
          <w:lang w:val="nb-NO"/>
        </w:rPr>
        <w:t>Til</w:t>
      </w:r>
    </w:p>
    <w:p w:rsidR="005C13DC" w:rsidRPr="00FD5D32" w:rsidRDefault="005C13DC">
      <w:pPr>
        <w:rPr>
          <w:sz w:val="28"/>
          <w:szCs w:val="28"/>
          <w:lang w:val="nb-NO"/>
        </w:rPr>
      </w:pPr>
      <w:r w:rsidRPr="00FD5D32">
        <w:rPr>
          <w:sz w:val="28"/>
          <w:szCs w:val="28"/>
          <w:lang w:val="nb-NO"/>
        </w:rPr>
        <w:t xml:space="preserve">Frimannsgate Parkering AS </w:t>
      </w:r>
    </w:p>
    <w:p w:rsidR="005C13DC" w:rsidRPr="00FD5D32" w:rsidRDefault="005C13DC">
      <w:pPr>
        <w:rPr>
          <w:b/>
          <w:i/>
          <w:sz w:val="28"/>
          <w:szCs w:val="28"/>
          <w:lang w:val="nb-NO"/>
        </w:rPr>
      </w:pPr>
      <w:r w:rsidRPr="00FD5D32">
        <w:rPr>
          <w:b/>
          <w:i/>
          <w:sz w:val="28"/>
          <w:szCs w:val="28"/>
          <w:lang w:val="nb-NO"/>
        </w:rPr>
        <w:t>Dato</w:t>
      </w:r>
    </w:p>
    <w:p w:rsidR="005C13DC" w:rsidRPr="00FD5D32" w:rsidRDefault="005C13DC">
      <w:pPr>
        <w:rPr>
          <w:sz w:val="28"/>
          <w:szCs w:val="28"/>
          <w:lang w:val="nb-NO"/>
        </w:rPr>
      </w:pPr>
      <w:r w:rsidRPr="00FD5D32">
        <w:rPr>
          <w:sz w:val="28"/>
          <w:szCs w:val="28"/>
          <w:lang w:val="nb-NO"/>
        </w:rPr>
        <w:t>16. januar 2012</w:t>
      </w:r>
    </w:p>
    <w:p w:rsidR="00FD5D32" w:rsidRDefault="00FD5D32" w:rsidP="00A40DD0">
      <w:pPr>
        <w:rPr>
          <w:b/>
          <w:sz w:val="32"/>
          <w:szCs w:val="32"/>
          <w:lang w:val="nb-NO"/>
        </w:rPr>
      </w:pPr>
    </w:p>
    <w:p w:rsidR="005C13DC" w:rsidRDefault="005C13DC" w:rsidP="00A40DD0">
      <w:pPr>
        <w:rPr>
          <w:b/>
          <w:sz w:val="32"/>
          <w:szCs w:val="32"/>
          <w:lang w:val="nb-NO"/>
        </w:rPr>
      </w:pPr>
      <w:r w:rsidRPr="005C13DC">
        <w:rPr>
          <w:b/>
          <w:sz w:val="32"/>
          <w:szCs w:val="32"/>
          <w:lang w:val="nb-NO"/>
        </w:rPr>
        <w:t xml:space="preserve">SAK: SALG AV GARASJEPLASSER I PP 11-13 PARKERINGSSEKSJONEN </w:t>
      </w:r>
    </w:p>
    <w:p w:rsidR="006F3E4C" w:rsidRDefault="00A40DD0" w:rsidP="00844BD6">
      <w:pPr>
        <w:rPr>
          <w:sz w:val="26"/>
          <w:szCs w:val="26"/>
          <w:lang w:val="nb-NO"/>
        </w:rPr>
      </w:pPr>
      <w:r w:rsidRPr="00FD5D32">
        <w:rPr>
          <w:sz w:val="26"/>
          <w:szCs w:val="26"/>
          <w:lang w:val="nb-NO"/>
        </w:rPr>
        <w:t xml:space="preserve">Viser til </w:t>
      </w:r>
      <w:r w:rsidR="006B27CE" w:rsidRPr="00FD5D32">
        <w:rPr>
          <w:sz w:val="26"/>
          <w:szCs w:val="26"/>
          <w:lang w:val="nb-NO"/>
        </w:rPr>
        <w:t>Deres planlagte salg av parkeringsplasser i Pilestredet Park 11</w:t>
      </w:r>
      <w:r w:rsidR="00FD5D32" w:rsidRPr="00FD5D32">
        <w:rPr>
          <w:sz w:val="26"/>
          <w:szCs w:val="26"/>
          <w:lang w:val="nb-NO"/>
        </w:rPr>
        <w:t>-13.</w:t>
      </w:r>
      <w:r w:rsidR="006B27CE" w:rsidRPr="00FD5D32">
        <w:rPr>
          <w:sz w:val="26"/>
          <w:szCs w:val="26"/>
          <w:lang w:val="nb-NO"/>
        </w:rPr>
        <w:t xml:space="preserve"> I den forbindelse har styret i borettslaget Pilestredet Park 11-13 gjennomført en juridisk vurdering med det formål å sikre at borettslagets rettigheter ivaretas.</w:t>
      </w:r>
      <w:r w:rsidR="00FD5D32" w:rsidRPr="00FD5D32">
        <w:rPr>
          <w:sz w:val="26"/>
          <w:szCs w:val="26"/>
          <w:lang w:val="nb-NO"/>
        </w:rPr>
        <w:t xml:space="preserve"> Med rettigheter</w:t>
      </w:r>
      <w:r w:rsidR="000B5634">
        <w:rPr>
          <w:sz w:val="26"/>
          <w:szCs w:val="26"/>
          <w:lang w:val="nb-NO"/>
        </w:rPr>
        <w:t>,</w:t>
      </w:r>
      <w:r w:rsidR="00FD5D32" w:rsidRPr="00FD5D32">
        <w:rPr>
          <w:sz w:val="26"/>
          <w:szCs w:val="26"/>
          <w:lang w:val="nb-NO"/>
        </w:rPr>
        <w:t xml:space="preserve"> menes her den tinglyste erklæring</w:t>
      </w:r>
      <w:r w:rsidR="000B5634">
        <w:rPr>
          <w:sz w:val="26"/>
          <w:szCs w:val="26"/>
          <w:lang w:val="nb-NO"/>
        </w:rPr>
        <w:t xml:space="preserve"> datert 7. mai 2008; </w:t>
      </w:r>
      <w:r w:rsidR="000B5634" w:rsidRPr="000B5634">
        <w:rPr>
          <w:sz w:val="26"/>
          <w:szCs w:val="26"/>
          <w:lang w:val="nb-NO"/>
        </w:rPr>
        <w:t>”Rett til leie av parkeringsplass”</w:t>
      </w:r>
      <w:r w:rsidR="00941772">
        <w:rPr>
          <w:sz w:val="26"/>
          <w:szCs w:val="26"/>
          <w:lang w:val="nb-NO"/>
        </w:rPr>
        <w:t>.</w:t>
      </w:r>
      <w:r w:rsidR="000B5634" w:rsidRPr="000B5634">
        <w:rPr>
          <w:sz w:val="26"/>
          <w:szCs w:val="26"/>
          <w:lang w:val="nb-NO"/>
        </w:rPr>
        <w:t xml:space="preserve"> </w:t>
      </w:r>
      <w:r w:rsidR="004B04AC">
        <w:rPr>
          <w:sz w:val="26"/>
          <w:szCs w:val="26"/>
          <w:lang w:val="nb-NO"/>
        </w:rPr>
        <w:t>Vi</w:t>
      </w:r>
      <w:r w:rsidR="006F3E4C">
        <w:rPr>
          <w:sz w:val="26"/>
          <w:szCs w:val="26"/>
          <w:lang w:val="nb-NO"/>
        </w:rPr>
        <w:t xml:space="preserve"> har tidligere videreformidlet vår vurdering av saken</w:t>
      </w:r>
      <w:r w:rsidR="004B04AC">
        <w:rPr>
          <w:sz w:val="26"/>
          <w:szCs w:val="26"/>
          <w:lang w:val="nb-NO"/>
        </w:rPr>
        <w:t xml:space="preserve"> i møte</w:t>
      </w:r>
      <w:r w:rsidR="006F3E4C">
        <w:rPr>
          <w:sz w:val="26"/>
          <w:szCs w:val="26"/>
          <w:lang w:val="nb-NO"/>
        </w:rPr>
        <w:t xml:space="preserve"> den </w:t>
      </w:r>
      <w:r w:rsidR="004B04AC">
        <w:rPr>
          <w:sz w:val="26"/>
          <w:szCs w:val="26"/>
          <w:lang w:val="nb-NO"/>
        </w:rPr>
        <w:t>20. desember 2011</w:t>
      </w:r>
      <w:r w:rsidR="006F3E4C">
        <w:rPr>
          <w:sz w:val="26"/>
          <w:szCs w:val="26"/>
          <w:lang w:val="nb-NO"/>
        </w:rPr>
        <w:t>, men</w:t>
      </w:r>
      <w:r w:rsidR="004B04AC">
        <w:rPr>
          <w:sz w:val="26"/>
          <w:szCs w:val="26"/>
          <w:lang w:val="nb-NO"/>
        </w:rPr>
        <w:t xml:space="preserve"> vi </w:t>
      </w:r>
      <w:r w:rsidR="006F3E4C">
        <w:rPr>
          <w:sz w:val="26"/>
          <w:szCs w:val="26"/>
          <w:lang w:val="nb-NO"/>
        </w:rPr>
        <w:t xml:space="preserve">ønsker også </w:t>
      </w:r>
      <w:r w:rsidR="004B04AC">
        <w:rPr>
          <w:sz w:val="26"/>
          <w:szCs w:val="26"/>
          <w:lang w:val="nb-NO"/>
        </w:rPr>
        <w:t xml:space="preserve">å gjøre dette i </w:t>
      </w:r>
      <w:r w:rsidR="006F3E4C">
        <w:rPr>
          <w:sz w:val="26"/>
          <w:szCs w:val="26"/>
          <w:lang w:val="nb-NO"/>
        </w:rPr>
        <w:t>skriftlig form</w:t>
      </w:r>
      <w:r w:rsidR="004B04AC">
        <w:rPr>
          <w:sz w:val="26"/>
          <w:szCs w:val="26"/>
          <w:lang w:val="nb-NO"/>
        </w:rPr>
        <w:t xml:space="preserve"> for </w:t>
      </w:r>
      <w:r w:rsidR="006F3E4C">
        <w:rPr>
          <w:sz w:val="26"/>
          <w:szCs w:val="26"/>
          <w:lang w:val="nb-NO"/>
        </w:rPr>
        <w:t>å u</w:t>
      </w:r>
      <w:r w:rsidR="004B04AC">
        <w:rPr>
          <w:sz w:val="26"/>
          <w:szCs w:val="26"/>
          <w:lang w:val="nb-NO"/>
        </w:rPr>
        <w:t>nderstreke vår endelige vurdering.</w:t>
      </w:r>
    </w:p>
    <w:p w:rsidR="004B04AC" w:rsidRPr="003554B5" w:rsidRDefault="004B04AC" w:rsidP="00844BD6">
      <w:pPr>
        <w:rPr>
          <w:b/>
          <w:i/>
          <w:sz w:val="26"/>
          <w:szCs w:val="26"/>
          <w:lang w:val="nb-NO"/>
        </w:rPr>
      </w:pPr>
      <w:r w:rsidRPr="003554B5">
        <w:rPr>
          <w:b/>
          <w:i/>
          <w:sz w:val="26"/>
          <w:szCs w:val="26"/>
          <w:lang w:val="nb-NO"/>
        </w:rPr>
        <w:t xml:space="preserve">Vår vurdering av tinglysningens innhold er følgende; </w:t>
      </w:r>
    </w:p>
    <w:p w:rsidR="004B04AC" w:rsidRDefault="004B04AC" w:rsidP="004B04AC">
      <w:pPr>
        <w:pStyle w:val="ListParagraph"/>
        <w:numPr>
          <w:ilvl w:val="0"/>
          <w:numId w:val="3"/>
        </w:num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Salg av enkeltplasser i Parkeringsseksjonen</w:t>
      </w:r>
      <w:r w:rsidR="00D06D68">
        <w:rPr>
          <w:sz w:val="26"/>
          <w:szCs w:val="26"/>
          <w:lang w:val="nb-NO"/>
        </w:rPr>
        <w:t xml:space="preserve"> kan </w:t>
      </w:r>
      <w:r w:rsidR="00D06D68" w:rsidRPr="00782C3B">
        <w:rPr>
          <w:sz w:val="26"/>
          <w:szCs w:val="26"/>
          <w:u w:val="single"/>
          <w:lang w:val="nb-NO"/>
        </w:rPr>
        <w:t>kun</w:t>
      </w:r>
      <w:r w:rsidR="00D06D68">
        <w:rPr>
          <w:sz w:val="26"/>
          <w:szCs w:val="26"/>
          <w:lang w:val="nb-NO"/>
        </w:rPr>
        <w:t xml:space="preserve"> selges til </w:t>
      </w:r>
      <w:r>
        <w:rPr>
          <w:sz w:val="26"/>
          <w:szCs w:val="26"/>
          <w:lang w:val="nb-NO"/>
        </w:rPr>
        <w:t xml:space="preserve">beboere med </w:t>
      </w:r>
      <w:r w:rsidRPr="00782C3B">
        <w:rPr>
          <w:sz w:val="26"/>
          <w:szCs w:val="26"/>
          <w:u w:val="single"/>
          <w:lang w:val="nb-NO"/>
        </w:rPr>
        <w:t>leieret</w:t>
      </w:r>
      <w:r w:rsidR="00D06D68" w:rsidRPr="00782C3B">
        <w:rPr>
          <w:sz w:val="26"/>
          <w:szCs w:val="26"/>
          <w:u w:val="single"/>
          <w:lang w:val="nb-NO"/>
        </w:rPr>
        <w:t>t</w:t>
      </w:r>
      <w:r w:rsidR="00D06D68">
        <w:rPr>
          <w:sz w:val="26"/>
          <w:szCs w:val="26"/>
          <w:lang w:val="nb-NO"/>
        </w:rPr>
        <w:t xml:space="preserve"> i borettslaget Pilestredet Park 11-13</w:t>
      </w:r>
      <w:r w:rsidR="007B4380">
        <w:rPr>
          <w:sz w:val="26"/>
          <w:szCs w:val="26"/>
          <w:lang w:val="nb-NO"/>
        </w:rPr>
        <w:t>.</w:t>
      </w:r>
    </w:p>
    <w:p w:rsidR="00EB0D5F" w:rsidRPr="00194D8D" w:rsidRDefault="00D06D68" w:rsidP="00292991">
      <w:pPr>
        <w:pStyle w:val="ListParagraph"/>
        <w:numPr>
          <w:ilvl w:val="0"/>
          <w:numId w:val="3"/>
        </w:numPr>
        <w:rPr>
          <w:b/>
          <w:sz w:val="26"/>
          <w:szCs w:val="26"/>
          <w:lang w:val="nb-NO"/>
        </w:rPr>
      </w:pPr>
      <w:r w:rsidRPr="00EB0D5F">
        <w:rPr>
          <w:sz w:val="26"/>
          <w:szCs w:val="26"/>
          <w:lang w:val="nb-NO"/>
        </w:rPr>
        <w:t xml:space="preserve">Salg av ideelle eierandeler med </w:t>
      </w:r>
      <w:r w:rsidRPr="00EB0D5F">
        <w:rPr>
          <w:i/>
          <w:sz w:val="26"/>
          <w:szCs w:val="26"/>
          <w:lang w:val="nb-NO"/>
        </w:rPr>
        <w:t xml:space="preserve">eksklusiv leierett </w:t>
      </w:r>
      <w:r w:rsidRPr="00EB0D5F">
        <w:rPr>
          <w:sz w:val="26"/>
          <w:szCs w:val="26"/>
          <w:lang w:val="nb-NO"/>
        </w:rPr>
        <w:t>er ikke i tråd</w:t>
      </w:r>
      <w:r w:rsidR="00292991" w:rsidRPr="00EB0D5F">
        <w:rPr>
          <w:sz w:val="26"/>
          <w:szCs w:val="26"/>
          <w:lang w:val="nb-NO"/>
        </w:rPr>
        <w:t xml:space="preserve"> med den gjeldende tinglyst erklæringen</w:t>
      </w:r>
      <w:r w:rsidRPr="00EB0D5F">
        <w:rPr>
          <w:sz w:val="26"/>
          <w:szCs w:val="26"/>
          <w:lang w:val="nb-NO"/>
        </w:rPr>
        <w:t xml:space="preserve"> </w:t>
      </w:r>
      <w:r w:rsidR="003554B5" w:rsidRPr="00EB0D5F">
        <w:rPr>
          <w:sz w:val="26"/>
          <w:szCs w:val="26"/>
          <w:lang w:val="nb-NO"/>
        </w:rPr>
        <w:t>– i realitet en omgåelse a</w:t>
      </w:r>
      <w:r w:rsidR="003554B5" w:rsidRPr="00194D8D">
        <w:rPr>
          <w:sz w:val="26"/>
          <w:szCs w:val="26"/>
          <w:lang w:val="nb-NO"/>
        </w:rPr>
        <w:t xml:space="preserve">v bestemmelsen </w:t>
      </w:r>
      <w:r w:rsidR="00292991" w:rsidRPr="00194D8D">
        <w:rPr>
          <w:sz w:val="26"/>
          <w:szCs w:val="26"/>
          <w:lang w:val="nb-NO"/>
        </w:rPr>
        <w:t>i</w:t>
      </w:r>
      <w:r w:rsidR="003554B5" w:rsidRPr="00194D8D">
        <w:rPr>
          <w:sz w:val="26"/>
          <w:szCs w:val="26"/>
          <w:lang w:val="nb-NO"/>
        </w:rPr>
        <w:t xml:space="preserve"> pkt.</w:t>
      </w:r>
      <w:r w:rsidR="007B4380" w:rsidRPr="00194D8D">
        <w:rPr>
          <w:sz w:val="26"/>
          <w:szCs w:val="26"/>
          <w:lang w:val="nb-NO"/>
        </w:rPr>
        <w:t xml:space="preserve"> 1</w:t>
      </w:r>
      <w:r w:rsidR="007B4380" w:rsidRPr="00194D8D">
        <w:rPr>
          <w:b/>
          <w:sz w:val="26"/>
          <w:szCs w:val="26"/>
          <w:lang w:val="nb-NO"/>
        </w:rPr>
        <w:t xml:space="preserve"> </w:t>
      </w:r>
    </w:p>
    <w:p w:rsidR="00EB0D5F" w:rsidRDefault="00292991" w:rsidP="00EB0D5F">
      <w:pPr>
        <w:rPr>
          <w:sz w:val="26"/>
          <w:szCs w:val="26"/>
          <w:lang w:val="nb-NO"/>
        </w:rPr>
      </w:pPr>
      <w:r w:rsidRPr="00194D8D">
        <w:rPr>
          <w:b/>
          <w:sz w:val="26"/>
          <w:szCs w:val="26"/>
          <w:lang w:val="nb-NO"/>
        </w:rPr>
        <w:t xml:space="preserve">Konkret innebærer vår fortolkning, at en omsetning er begrenset til å </w:t>
      </w:r>
      <w:r w:rsidR="00EB0D5F" w:rsidRPr="00194D8D">
        <w:rPr>
          <w:b/>
          <w:sz w:val="26"/>
          <w:szCs w:val="26"/>
          <w:lang w:val="nb-NO"/>
        </w:rPr>
        <w:t xml:space="preserve">realisere </w:t>
      </w:r>
      <w:r w:rsidR="003E27DD" w:rsidRPr="00194D8D">
        <w:rPr>
          <w:b/>
          <w:sz w:val="26"/>
          <w:szCs w:val="26"/>
          <w:lang w:val="nb-NO"/>
        </w:rPr>
        <w:t xml:space="preserve">aksjer </w:t>
      </w:r>
      <w:proofErr w:type="gramStart"/>
      <w:r w:rsidR="003E27DD" w:rsidRPr="00194D8D">
        <w:rPr>
          <w:b/>
          <w:sz w:val="26"/>
          <w:szCs w:val="26"/>
          <w:lang w:val="nb-NO"/>
        </w:rPr>
        <w:t xml:space="preserve">i </w:t>
      </w:r>
      <w:r w:rsidR="00EB0D5F" w:rsidRPr="00194D8D">
        <w:rPr>
          <w:b/>
          <w:sz w:val="26"/>
          <w:szCs w:val="26"/>
          <w:lang w:val="nb-NO"/>
        </w:rPr>
        <w:t xml:space="preserve"> </w:t>
      </w:r>
      <w:r w:rsidR="006C055C" w:rsidRPr="00194D8D">
        <w:rPr>
          <w:b/>
          <w:sz w:val="26"/>
          <w:szCs w:val="26"/>
          <w:lang w:val="nb-NO"/>
        </w:rPr>
        <w:t xml:space="preserve"> Frimannsgate</w:t>
      </w:r>
      <w:proofErr w:type="gramEnd"/>
      <w:r w:rsidR="006C055C" w:rsidRPr="00194D8D">
        <w:rPr>
          <w:b/>
          <w:sz w:val="26"/>
          <w:szCs w:val="26"/>
          <w:lang w:val="nb-NO"/>
        </w:rPr>
        <w:t xml:space="preserve"> Parkering AS</w:t>
      </w:r>
      <w:r w:rsidR="00194D8D" w:rsidRPr="00194D8D">
        <w:rPr>
          <w:b/>
          <w:sz w:val="26"/>
          <w:szCs w:val="26"/>
          <w:lang w:val="nb-NO"/>
        </w:rPr>
        <w:t xml:space="preserve"> (hele eller deler av aksjeposten) </w:t>
      </w:r>
      <w:r w:rsidR="003E27DD" w:rsidRPr="00194D8D">
        <w:rPr>
          <w:b/>
          <w:sz w:val="26"/>
          <w:szCs w:val="26"/>
          <w:lang w:val="nb-NO"/>
        </w:rPr>
        <w:t xml:space="preserve"> eller at en selger enkeltandeler til beboere med leierett i borettslaget</w:t>
      </w:r>
      <w:r w:rsidR="006C055C" w:rsidRPr="00194D8D">
        <w:rPr>
          <w:b/>
          <w:sz w:val="26"/>
          <w:szCs w:val="26"/>
          <w:lang w:val="nb-NO"/>
        </w:rPr>
        <w:t>.</w:t>
      </w:r>
      <w:r w:rsidR="004906A0" w:rsidRPr="00EB0D5F">
        <w:rPr>
          <w:sz w:val="26"/>
          <w:szCs w:val="26"/>
          <w:lang w:val="nb-NO"/>
        </w:rPr>
        <w:t xml:space="preserve"> </w:t>
      </w:r>
    </w:p>
    <w:p w:rsidR="00187555" w:rsidRDefault="006C055C" w:rsidP="00292991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Vår vurdering er gj</w:t>
      </w:r>
      <w:r w:rsidR="007D28C8">
        <w:rPr>
          <w:sz w:val="26"/>
          <w:szCs w:val="26"/>
          <w:lang w:val="nb-NO"/>
        </w:rPr>
        <w:t xml:space="preserve">ort med utgangspunkt i hva som </w:t>
      </w:r>
      <w:r>
        <w:rPr>
          <w:sz w:val="26"/>
          <w:szCs w:val="26"/>
          <w:lang w:val="nb-NO"/>
        </w:rPr>
        <w:t>var formålet</w:t>
      </w:r>
      <w:r w:rsidR="00187555">
        <w:rPr>
          <w:sz w:val="26"/>
          <w:szCs w:val="26"/>
          <w:lang w:val="nb-NO"/>
        </w:rPr>
        <w:t xml:space="preserve"> med den tinglyste erklæringen</w:t>
      </w:r>
      <w:r w:rsidR="00EB0D5F">
        <w:rPr>
          <w:sz w:val="26"/>
          <w:szCs w:val="26"/>
          <w:lang w:val="nb-NO"/>
        </w:rPr>
        <w:t xml:space="preserve"> og en fortolkning av denne, hvor førstnevnte er svært </w:t>
      </w:r>
      <w:r w:rsidR="004906A0">
        <w:rPr>
          <w:sz w:val="26"/>
          <w:szCs w:val="26"/>
          <w:lang w:val="nb-NO"/>
        </w:rPr>
        <w:t>relevant</w:t>
      </w:r>
      <w:r w:rsidR="00187555">
        <w:rPr>
          <w:sz w:val="26"/>
          <w:szCs w:val="26"/>
          <w:lang w:val="nb-NO"/>
        </w:rPr>
        <w:t>;</w:t>
      </w:r>
    </w:p>
    <w:p w:rsidR="00844BD6" w:rsidRPr="007D28C8" w:rsidRDefault="00187555" w:rsidP="007D28C8">
      <w:pPr>
        <w:rPr>
          <w:i/>
          <w:sz w:val="26"/>
          <w:szCs w:val="26"/>
          <w:lang w:val="nb-NO"/>
        </w:rPr>
      </w:pPr>
      <w:r w:rsidRPr="007D28C8">
        <w:rPr>
          <w:i/>
          <w:sz w:val="26"/>
          <w:szCs w:val="26"/>
          <w:lang w:val="nb-NO"/>
        </w:rPr>
        <w:t xml:space="preserve">Byggingen av garasjeanlegget var </w:t>
      </w:r>
      <w:r w:rsidR="007B4380">
        <w:rPr>
          <w:i/>
          <w:sz w:val="26"/>
          <w:szCs w:val="26"/>
          <w:lang w:val="nb-NO"/>
        </w:rPr>
        <w:t xml:space="preserve">antatt </w:t>
      </w:r>
      <w:r w:rsidRPr="007D28C8">
        <w:rPr>
          <w:i/>
          <w:sz w:val="26"/>
          <w:szCs w:val="26"/>
          <w:lang w:val="nb-NO"/>
        </w:rPr>
        <w:t xml:space="preserve">en forutsetning for å få </w:t>
      </w:r>
      <w:r w:rsidR="00844BD6" w:rsidRPr="007D28C8">
        <w:rPr>
          <w:i/>
          <w:sz w:val="26"/>
          <w:szCs w:val="26"/>
          <w:lang w:val="nb-NO"/>
        </w:rPr>
        <w:t>tillatelse til bygging</w:t>
      </w:r>
      <w:r w:rsidR="007D28C8" w:rsidRPr="007D28C8">
        <w:rPr>
          <w:i/>
          <w:sz w:val="26"/>
          <w:szCs w:val="26"/>
          <w:lang w:val="nb-NO"/>
        </w:rPr>
        <w:t>/rehabilitering av Rikshospitalets tidligere eiendom</w:t>
      </w:r>
      <w:r w:rsidRPr="007D28C8">
        <w:rPr>
          <w:i/>
          <w:sz w:val="26"/>
          <w:szCs w:val="26"/>
          <w:lang w:val="nb-NO"/>
        </w:rPr>
        <w:t xml:space="preserve"> og utbygger </w:t>
      </w:r>
      <w:r w:rsidR="00844BD6" w:rsidRPr="007D28C8">
        <w:rPr>
          <w:i/>
          <w:sz w:val="26"/>
          <w:szCs w:val="26"/>
          <w:lang w:val="nb-NO"/>
        </w:rPr>
        <w:t xml:space="preserve">ble pålagt og ”i </w:t>
      </w:r>
      <w:r w:rsidR="00844BD6" w:rsidRPr="007D28C8">
        <w:rPr>
          <w:i/>
          <w:sz w:val="26"/>
          <w:szCs w:val="26"/>
          <w:lang w:val="nb-NO"/>
        </w:rPr>
        <w:lastRenderedPageBreak/>
        <w:t>nødvendig utstrekning sikre (…) parkering av biler”, jfr. plan- og bygningsloven av 1985 § 69. I Oslo ble plikten til å sikre nødvendig parkering på det aktuelle tidspunktet angitt gjennom parkeringsnormen</w:t>
      </w:r>
      <w:r w:rsidR="00844BD6" w:rsidRPr="007D28C8">
        <w:rPr>
          <w:rStyle w:val="FootnoteReference"/>
          <w:i/>
          <w:sz w:val="26"/>
          <w:szCs w:val="26"/>
        </w:rPr>
        <w:footnoteReference w:id="1"/>
      </w:r>
      <w:r w:rsidR="002E1639" w:rsidRPr="002E1639">
        <w:rPr>
          <w:i/>
          <w:sz w:val="26"/>
          <w:szCs w:val="26"/>
          <w:lang w:val="nb-NO"/>
        </w:rPr>
        <w:t>.</w:t>
      </w:r>
      <w:r w:rsidR="007B4380">
        <w:rPr>
          <w:i/>
          <w:sz w:val="26"/>
          <w:szCs w:val="26"/>
          <w:lang w:val="nb-NO"/>
        </w:rPr>
        <w:t xml:space="preserve"> </w:t>
      </w:r>
    </w:p>
    <w:p w:rsidR="004906A0" w:rsidRPr="002E1639" w:rsidRDefault="004906A0" w:rsidP="004906A0">
      <w:pPr>
        <w:rPr>
          <w:i/>
          <w:sz w:val="26"/>
          <w:szCs w:val="26"/>
          <w:lang w:val="nb-NO"/>
        </w:rPr>
      </w:pPr>
      <w:r w:rsidRPr="002E1639">
        <w:rPr>
          <w:i/>
          <w:sz w:val="26"/>
          <w:szCs w:val="26"/>
          <w:lang w:val="nb-NO"/>
        </w:rPr>
        <w:t xml:space="preserve">Gjennom byggingen av Parkeringsseksjonen har utbygger sikret at lovens krav til parkering er oppfylt, noe som må ha vært et krav fra kommunen for å få tillatelse til bygging. Gjennom Erklæringen har kommunen også sikret at de krav som er stilt til antall plasser gis vern også etter at tillatelse til bygging er gitt. </w:t>
      </w:r>
    </w:p>
    <w:p w:rsidR="00BC1CB2" w:rsidRPr="00C17D2E" w:rsidRDefault="00EB0D5F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Dersom en i etterkant gjennomfører en realisasjon av anlegget ved salg av ideelle andeler, så er dette i strid med tinglysningen.</w:t>
      </w:r>
      <w:r w:rsidR="00C17D2E">
        <w:rPr>
          <w:sz w:val="26"/>
          <w:szCs w:val="26"/>
          <w:lang w:val="nb-NO"/>
        </w:rPr>
        <w:t xml:space="preserve"> </w:t>
      </w:r>
      <w:r w:rsidR="00C17D2E" w:rsidRPr="00C17D2E">
        <w:rPr>
          <w:sz w:val="26"/>
          <w:szCs w:val="26"/>
          <w:lang w:val="nb-NO"/>
        </w:rPr>
        <w:t>Bestemmelsen åpner for salg til andelseiere i Borettslaget, men ikke til eksterne</w:t>
      </w:r>
      <w:r w:rsidR="009C6959">
        <w:rPr>
          <w:sz w:val="26"/>
          <w:szCs w:val="26"/>
          <w:lang w:val="nb-NO"/>
        </w:rPr>
        <w:t>.</w:t>
      </w:r>
      <w:r w:rsidRPr="00C17D2E">
        <w:rPr>
          <w:sz w:val="26"/>
          <w:szCs w:val="26"/>
          <w:lang w:val="nb-NO"/>
        </w:rPr>
        <w:t xml:space="preserve"> </w:t>
      </w:r>
    </w:p>
    <w:p w:rsidR="003A7EF6" w:rsidRDefault="009C6959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T</w:t>
      </w:r>
      <w:r w:rsidR="00BC1CB2">
        <w:rPr>
          <w:sz w:val="26"/>
          <w:szCs w:val="26"/>
          <w:lang w:val="nb-NO"/>
        </w:rPr>
        <w:t>inglysningen angir</w:t>
      </w:r>
      <w:r>
        <w:rPr>
          <w:sz w:val="26"/>
          <w:szCs w:val="26"/>
          <w:lang w:val="nb-NO"/>
        </w:rPr>
        <w:t xml:space="preserve"> videre at en beboer som har leierett ikke</w:t>
      </w:r>
      <w:r w:rsidR="00BC1CB2">
        <w:rPr>
          <w:sz w:val="26"/>
          <w:szCs w:val="26"/>
          <w:lang w:val="nb-NO"/>
        </w:rPr>
        <w:t xml:space="preserve"> kan</w:t>
      </w:r>
      <w:r>
        <w:rPr>
          <w:sz w:val="26"/>
          <w:szCs w:val="26"/>
          <w:lang w:val="nb-NO"/>
        </w:rPr>
        <w:t xml:space="preserve"> leie ut denne eller selge denne uavhengig av leieretten i borettslaget. Denne begrensningen er en klar indikasjon på at det ikke </w:t>
      </w:r>
      <w:r w:rsidR="003A7EF6">
        <w:rPr>
          <w:sz w:val="26"/>
          <w:szCs w:val="26"/>
          <w:lang w:val="nb-NO"/>
        </w:rPr>
        <w:t>er åpning for fri omsetning av plasser</w:t>
      </w:r>
      <w:r w:rsidR="00FF1A3C">
        <w:rPr>
          <w:sz w:val="26"/>
          <w:szCs w:val="26"/>
          <w:lang w:val="nb-NO"/>
        </w:rPr>
        <w:t xml:space="preserve"> eller leieretter</w:t>
      </w:r>
      <w:r w:rsidR="003A7EF6">
        <w:rPr>
          <w:sz w:val="26"/>
          <w:szCs w:val="26"/>
          <w:lang w:val="nb-NO"/>
        </w:rPr>
        <w:t xml:space="preserve">. </w:t>
      </w:r>
    </w:p>
    <w:p w:rsidR="003A7EF6" w:rsidRDefault="003A7EF6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Selv om foreslått løsning fra dere ikke er enkeltplasser, så er det i realitet dette som foreslås gjennom samtidig å tilby en </w:t>
      </w:r>
      <w:r w:rsidRPr="003A7EF6">
        <w:rPr>
          <w:i/>
          <w:sz w:val="26"/>
          <w:szCs w:val="26"/>
          <w:lang w:val="nb-NO"/>
        </w:rPr>
        <w:t>eksklusiv leierett</w:t>
      </w:r>
      <w:r>
        <w:rPr>
          <w:sz w:val="26"/>
          <w:szCs w:val="26"/>
          <w:lang w:val="nb-NO"/>
        </w:rPr>
        <w:t xml:space="preserve">. Dette anses fra vår side som en omgåelse av tinglysningens bestemmelser. Tinglysningens ordlyd indikerer også at det forutsetningsvis skal være </w:t>
      </w:r>
      <w:r w:rsidRPr="003A7EF6">
        <w:rPr>
          <w:i/>
          <w:sz w:val="26"/>
          <w:szCs w:val="26"/>
          <w:lang w:val="nb-NO"/>
        </w:rPr>
        <w:t>en eier</w:t>
      </w:r>
      <w:r>
        <w:rPr>
          <w:sz w:val="26"/>
          <w:szCs w:val="26"/>
          <w:lang w:val="nb-NO"/>
        </w:rPr>
        <w:t xml:space="preserve"> og en oppsplitting i flere ideelle eierandeler er antatt </w:t>
      </w:r>
      <w:r w:rsidR="00FF1A3C">
        <w:rPr>
          <w:sz w:val="26"/>
          <w:szCs w:val="26"/>
          <w:lang w:val="nb-NO"/>
        </w:rPr>
        <w:t xml:space="preserve">også </w:t>
      </w:r>
      <w:r>
        <w:rPr>
          <w:sz w:val="26"/>
          <w:szCs w:val="26"/>
          <w:lang w:val="nb-NO"/>
        </w:rPr>
        <w:t xml:space="preserve">et brudd på forutsetningene for Oslo Kommunes samtykke. </w:t>
      </w:r>
    </w:p>
    <w:p w:rsidR="00B30D8B" w:rsidRDefault="00EC6C71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Selv om en er enig om å være uenig om pris, så kan en heller ikke se bort fra dette</w:t>
      </w:r>
      <w:r w:rsidR="00FF1A3C">
        <w:rPr>
          <w:sz w:val="26"/>
          <w:szCs w:val="26"/>
          <w:lang w:val="nb-NO"/>
        </w:rPr>
        <w:t xml:space="preserve"> forholdet</w:t>
      </w:r>
      <w:r>
        <w:rPr>
          <w:sz w:val="26"/>
          <w:szCs w:val="26"/>
          <w:lang w:val="nb-NO"/>
        </w:rPr>
        <w:t xml:space="preserve">. Siste transaksjon på anlegget verdsetter dette til 12,5 MNOK og som utgjør en pris på 162 338 per plass. En kan i den forbindelse hevde at dette er et </w:t>
      </w:r>
      <w:r w:rsidRPr="00EC6C71">
        <w:rPr>
          <w:i/>
          <w:sz w:val="26"/>
          <w:szCs w:val="26"/>
          <w:lang w:val="nb-NO"/>
        </w:rPr>
        <w:t>godt kjøp</w:t>
      </w:r>
      <w:r>
        <w:rPr>
          <w:sz w:val="26"/>
          <w:szCs w:val="26"/>
          <w:lang w:val="nb-NO"/>
        </w:rPr>
        <w:t xml:space="preserve"> eller at </w:t>
      </w:r>
      <w:r w:rsidRPr="00EC6C71">
        <w:rPr>
          <w:i/>
          <w:sz w:val="26"/>
          <w:szCs w:val="26"/>
          <w:lang w:val="nb-NO"/>
        </w:rPr>
        <w:t>finansielle forhold</w:t>
      </w:r>
      <w:r>
        <w:rPr>
          <w:sz w:val="26"/>
          <w:szCs w:val="26"/>
          <w:lang w:val="nb-NO"/>
        </w:rPr>
        <w:t xml:space="preserve"> (antatt effekt av finanskrise etc.) forklarer den lave prisen, både sett opp i mot kostnader med utbygging og den pris som er satt på hver andel. Men slik vi ser det, så er dette en sterk indikasjon på at salget har skjedd i lys av den tinglyste erklæring som følger anlegget og som i så måte er </w:t>
      </w:r>
      <w:r w:rsidRPr="00114EDF">
        <w:rPr>
          <w:i/>
          <w:sz w:val="26"/>
          <w:szCs w:val="26"/>
          <w:lang w:val="nb-NO"/>
        </w:rPr>
        <w:t>prisdempende</w:t>
      </w:r>
      <w:r>
        <w:rPr>
          <w:sz w:val="26"/>
          <w:szCs w:val="26"/>
          <w:lang w:val="nb-NO"/>
        </w:rPr>
        <w:t xml:space="preserve"> i et salg av anlegget. </w:t>
      </w:r>
      <w:r w:rsidR="00B30D8B">
        <w:rPr>
          <w:sz w:val="26"/>
          <w:szCs w:val="26"/>
          <w:lang w:val="nb-NO"/>
        </w:rPr>
        <w:t xml:space="preserve">Et salg av plasser til 400 000 er på et nivå som i realitet innebærer at en ikke overfor en beboer er i stand til å innfri tinglysningen, da samlet kostnad (finansiering + driftskostnader) vil overstige dagens leiepris for flertallet av leietakerne i borettslaget. </w:t>
      </w:r>
    </w:p>
    <w:p w:rsidR="00B30D8B" w:rsidRDefault="00B30D8B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lastRenderedPageBreak/>
        <w:t xml:space="preserve">Slik saken foreligger, vil styret i borettslaget ikke akseptere den valgte løsning og setter som en minimumsforutsetning at samtykke fra Oslo Kommune innhentes, før en fortsetter salgsprosessen. </w:t>
      </w:r>
    </w:p>
    <w:p w:rsidR="00B30D8B" w:rsidRDefault="00B53033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Vi oppfatter videre at prosessen som er igangsatt ikke er godt nok juridisk fundamentert og en har primært hatt fokus på enklest mulig fremgangsmåte for et salg av plasser i anlegget. En kan heller ikke bare se på dagens </w:t>
      </w:r>
      <w:proofErr w:type="spellStart"/>
      <w:r>
        <w:rPr>
          <w:sz w:val="26"/>
          <w:szCs w:val="26"/>
          <w:lang w:val="nb-NO"/>
        </w:rPr>
        <w:t>leiesituasjon</w:t>
      </w:r>
      <w:proofErr w:type="spellEnd"/>
      <w:r>
        <w:rPr>
          <w:sz w:val="26"/>
          <w:szCs w:val="26"/>
          <w:lang w:val="nb-NO"/>
        </w:rPr>
        <w:t xml:space="preserve">, da denne over tid vil forandre seg og det faktum at det er få leietakere fra borettslaget i dag er ikke i seg selv avgjørende. Vurderingen må ses i lys av et lengre perspektiv. </w:t>
      </w:r>
    </w:p>
    <w:p w:rsidR="00FF1A3C" w:rsidRDefault="00B53033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Vi imøteser en </w:t>
      </w:r>
      <w:proofErr w:type="spellStart"/>
      <w:r>
        <w:rPr>
          <w:sz w:val="26"/>
          <w:szCs w:val="26"/>
          <w:lang w:val="nb-NO"/>
        </w:rPr>
        <w:t>tilbakemeldig</w:t>
      </w:r>
      <w:proofErr w:type="spellEnd"/>
      <w:r>
        <w:rPr>
          <w:sz w:val="26"/>
          <w:szCs w:val="26"/>
          <w:lang w:val="nb-NO"/>
        </w:rPr>
        <w:t xml:space="preserve"> på </w:t>
      </w:r>
      <w:r w:rsidR="00FF1A3C">
        <w:rPr>
          <w:sz w:val="26"/>
          <w:szCs w:val="26"/>
          <w:lang w:val="nb-NO"/>
        </w:rPr>
        <w:t xml:space="preserve">dette notat og vi kan gjerne ta en diskusjon på de punkter som er gjennomgått ovenfor. Imidlertid er som sagt vår konklusjon </w:t>
      </w:r>
      <w:proofErr w:type="spellStart"/>
      <w:r w:rsidR="00FF1A3C">
        <w:rPr>
          <w:sz w:val="26"/>
          <w:szCs w:val="26"/>
          <w:lang w:val="nb-NO"/>
        </w:rPr>
        <w:t>pt</w:t>
      </w:r>
      <w:proofErr w:type="spellEnd"/>
      <w:r w:rsidR="00FF1A3C">
        <w:rPr>
          <w:sz w:val="26"/>
          <w:szCs w:val="26"/>
          <w:lang w:val="nb-NO"/>
        </w:rPr>
        <w:t xml:space="preserve">. </w:t>
      </w:r>
      <w:proofErr w:type="gramStart"/>
      <w:r w:rsidR="00FF1A3C">
        <w:rPr>
          <w:sz w:val="26"/>
          <w:szCs w:val="26"/>
          <w:lang w:val="nb-NO"/>
        </w:rPr>
        <w:t xml:space="preserve">at salget ikke kan gjennomføres slik det er planlagt i per </w:t>
      </w:r>
      <w:proofErr w:type="spellStart"/>
      <w:r w:rsidR="00FF1A3C">
        <w:rPr>
          <w:sz w:val="26"/>
          <w:szCs w:val="26"/>
          <w:lang w:val="nb-NO"/>
        </w:rPr>
        <w:t>dd</w:t>
      </w:r>
      <w:proofErr w:type="spellEnd"/>
      <w:r w:rsidR="00FF1A3C">
        <w:rPr>
          <w:sz w:val="26"/>
          <w:szCs w:val="26"/>
          <w:lang w:val="nb-NO"/>
        </w:rPr>
        <w:t>.</w:t>
      </w:r>
      <w:proofErr w:type="gramEnd"/>
      <w:r w:rsidR="00FF1A3C">
        <w:rPr>
          <w:sz w:val="26"/>
          <w:szCs w:val="26"/>
          <w:lang w:val="nb-NO"/>
        </w:rPr>
        <w:t xml:space="preserve"> </w:t>
      </w:r>
    </w:p>
    <w:p w:rsidR="00FF1A3C" w:rsidRDefault="00FF1A3C" w:rsidP="00FD5D32">
      <w:pPr>
        <w:rPr>
          <w:sz w:val="26"/>
          <w:szCs w:val="26"/>
          <w:lang w:val="nb-NO"/>
        </w:rPr>
      </w:pPr>
      <w:bookmarkStart w:id="0" w:name="_GoBack"/>
      <w:bookmarkEnd w:id="0"/>
    </w:p>
    <w:p w:rsidR="00FF1A3C" w:rsidRDefault="00FF1A3C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På vegne av styret i Pilestredet Park Borettslag </w:t>
      </w:r>
    </w:p>
    <w:p w:rsidR="00FF1A3C" w:rsidRDefault="00FF1A3C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Martin Prytz</w:t>
      </w:r>
    </w:p>
    <w:p w:rsidR="00B53033" w:rsidRDefault="00FF1A3C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Styreleder </w:t>
      </w:r>
      <w:r w:rsidR="00B53033">
        <w:rPr>
          <w:sz w:val="26"/>
          <w:szCs w:val="26"/>
          <w:lang w:val="nb-NO"/>
        </w:rPr>
        <w:t xml:space="preserve"> </w:t>
      </w:r>
    </w:p>
    <w:p w:rsidR="00B53033" w:rsidRDefault="00B53033" w:rsidP="00FD5D32">
      <w:pPr>
        <w:rPr>
          <w:sz w:val="26"/>
          <w:szCs w:val="26"/>
          <w:lang w:val="nb-NO"/>
        </w:rPr>
      </w:pPr>
    </w:p>
    <w:p w:rsidR="003A7EF6" w:rsidRDefault="00EC6C71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 </w:t>
      </w:r>
    </w:p>
    <w:p w:rsidR="003A7EF6" w:rsidRPr="003A7EF6" w:rsidRDefault="003A7EF6" w:rsidP="00FD5D32">
      <w:pPr>
        <w:rPr>
          <w:sz w:val="26"/>
          <w:szCs w:val="26"/>
          <w:lang w:val="nb-NO"/>
        </w:rPr>
      </w:pPr>
    </w:p>
    <w:p w:rsidR="000B5634" w:rsidRDefault="003A7EF6" w:rsidP="00FD5D32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 </w:t>
      </w:r>
      <w:r w:rsidR="009C6959">
        <w:rPr>
          <w:sz w:val="26"/>
          <w:szCs w:val="26"/>
          <w:lang w:val="nb-NO"/>
        </w:rPr>
        <w:t xml:space="preserve"> </w:t>
      </w:r>
    </w:p>
    <w:p w:rsidR="009C6959" w:rsidRDefault="009C6959" w:rsidP="00FD5D32">
      <w:pPr>
        <w:rPr>
          <w:sz w:val="26"/>
          <w:szCs w:val="26"/>
          <w:lang w:val="nb-NO"/>
        </w:rPr>
      </w:pPr>
    </w:p>
    <w:p w:rsidR="00EB0D5F" w:rsidRPr="00EB0D5F" w:rsidRDefault="00EB0D5F" w:rsidP="00EB0D5F">
      <w:pPr>
        <w:rPr>
          <w:sz w:val="26"/>
          <w:szCs w:val="26"/>
          <w:lang w:val="nb-NO"/>
        </w:rPr>
      </w:pPr>
      <w:r w:rsidRPr="00EB0D5F">
        <w:rPr>
          <w:sz w:val="26"/>
          <w:szCs w:val="26"/>
          <w:lang w:val="nb-NO"/>
        </w:rPr>
        <w:t xml:space="preserve">Dette er av vesentlig betydning for hele salgsprosessen og informasjonsplikten til potensielle kjøpere.   </w:t>
      </w:r>
    </w:p>
    <w:p w:rsidR="00A40DD0" w:rsidRPr="00FD5D32" w:rsidRDefault="00FD5D32" w:rsidP="00FD5D32">
      <w:pPr>
        <w:rPr>
          <w:sz w:val="26"/>
          <w:szCs w:val="26"/>
          <w:lang w:val="nb-NO"/>
        </w:rPr>
      </w:pPr>
      <w:r w:rsidRPr="00FD5D32">
        <w:rPr>
          <w:sz w:val="26"/>
          <w:szCs w:val="26"/>
          <w:lang w:val="nb-NO"/>
        </w:rPr>
        <w:t xml:space="preserve"> </w:t>
      </w:r>
      <w:r w:rsidR="006B27CE" w:rsidRPr="00FD5D32">
        <w:rPr>
          <w:sz w:val="26"/>
          <w:szCs w:val="26"/>
          <w:lang w:val="nb-NO"/>
        </w:rPr>
        <w:t xml:space="preserve"> </w:t>
      </w:r>
    </w:p>
    <w:sectPr w:rsidR="00A40DD0" w:rsidRPr="00FD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E2" w:rsidRDefault="004B13E2" w:rsidP="00844BD6">
      <w:pPr>
        <w:spacing w:after="0" w:line="240" w:lineRule="auto"/>
      </w:pPr>
      <w:r>
        <w:separator/>
      </w:r>
    </w:p>
  </w:endnote>
  <w:endnote w:type="continuationSeparator" w:id="0">
    <w:p w:rsidR="004B13E2" w:rsidRDefault="004B13E2" w:rsidP="0084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E2" w:rsidRDefault="004B13E2" w:rsidP="00844BD6">
      <w:pPr>
        <w:spacing w:after="0" w:line="240" w:lineRule="auto"/>
      </w:pPr>
      <w:r>
        <w:separator/>
      </w:r>
    </w:p>
  </w:footnote>
  <w:footnote w:type="continuationSeparator" w:id="0">
    <w:p w:rsidR="004B13E2" w:rsidRDefault="004B13E2" w:rsidP="00844BD6">
      <w:pPr>
        <w:spacing w:after="0" w:line="240" w:lineRule="auto"/>
      </w:pPr>
      <w:r>
        <w:continuationSeparator/>
      </w:r>
    </w:p>
  </w:footnote>
  <w:footnote w:id="1">
    <w:p w:rsidR="00844BD6" w:rsidRDefault="00844BD6" w:rsidP="00844BD6">
      <w:pPr>
        <w:pStyle w:val="FootnoteText"/>
      </w:pPr>
      <w:r>
        <w:rPr>
          <w:rStyle w:val="FootnoteReference"/>
        </w:rPr>
        <w:footnoteRef/>
      </w:r>
      <w:r>
        <w:t xml:space="preserve">Veiledningshefte for parkeringsnormen er tilgjengelig på </w:t>
      </w:r>
      <w:hyperlink r:id="rId1" w:history="1">
        <w:r>
          <w:rPr>
            <w:rStyle w:val="Hyperlink"/>
          </w:rPr>
          <w:t>http://www.plan-og-bygningsetaten.oslo.kommune.no/plan/annet/article26978-8028.html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B7F"/>
    <w:multiLevelType w:val="hybridMultilevel"/>
    <w:tmpl w:val="A402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7EEF"/>
    <w:multiLevelType w:val="hybridMultilevel"/>
    <w:tmpl w:val="FB4A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4563"/>
    <w:multiLevelType w:val="hybridMultilevel"/>
    <w:tmpl w:val="581CA9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8B056F2"/>
    <w:multiLevelType w:val="hybridMultilevel"/>
    <w:tmpl w:val="AE4E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DC"/>
    <w:rsid w:val="000B5634"/>
    <w:rsid w:val="00114EDF"/>
    <w:rsid w:val="00187555"/>
    <w:rsid w:val="00194D8D"/>
    <w:rsid w:val="001B66C3"/>
    <w:rsid w:val="001D1965"/>
    <w:rsid w:val="00292991"/>
    <w:rsid w:val="002E1639"/>
    <w:rsid w:val="003554B5"/>
    <w:rsid w:val="003A7EF6"/>
    <w:rsid w:val="003E27DD"/>
    <w:rsid w:val="004906A0"/>
    <w:rsid w:val="004B04AC"/>
    <w:rsid w:val="004B13E2"/>
    <w:rsid w:val="005C13DC"/>
    <w:rsid w:val="006B27CE"/>
    <w:rsid w:val="006C055C"/>
    <w:rsid w:val="006F3E4C"/>
    <w:rsid w:val="00782C3B"/>
    <w:rsid w:val="007B2766"/>
    <w:rsid w:val="007B4380"/>
    <w:rsid w:val="007D28C8"/>
    <w:rsid w:val="0082285E"/>
    <w:rsid w:val="00844BD6"/>
    <w:rsid w:val="00941772"/>
    <w:rsid w:val="009C6959"/>
    <w:rsid w:val="00A26227"/>
    <w:rsid w:val="00A40DD0"/>
    <w:rsid w:val="00AB17E4"/>
    <w:rsid w:val="00B30D8B"/>
    <w:rsid w:val="00B53033"/>
    <w:rsid w:val="00B717B2"/>
    <w:rsid w:val="00BC1CB2"/>
    <w:rsid w:val="00C17D2E"/>
    <w:rsid w:val="00D06D68"/>
    <w:rsid w:val="00EB0D5F"/>
    <w:rsid w:val="00EC6C71"/>
    <w:rsid w:val="00FD5D32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BD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44B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844BD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semiHidden/>
    <w:unhideWhenUsed/>
    <w:rsid w:val="00844B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BD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44B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844BD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semiHidden/>
    <w:unhideWhenUsed/>
    <w:rsid w:val="00844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-og-bygningsetaten.oslo.kommune.no/plan/annet/article26978-80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Prytz, Martin</dc:creator>
  <cp:lastModifiedBy>Prytz, Martin</cp:lastModifiedBy>
  <cp:revision>5</cp:revision>
  <dcterms:created xsi:type="dcterms:W3CDTF">2012-01-16T16:59:00Z</dcterms:created>
  <dcterms:modified xsi:type="dcterms:W3CDTF">2012-01-17T09:35:00Z</dcterms:modified>
</cp:coreProperties>
</file>